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A2" w:rsidRDefault="007110A2" w:rsidP="007110A2">
      <w:pPr>
        <w:spacing w:line="240" w:lineRule="auto"/>
        <w:jc w:val="both"/>
        <w:rPr>
          <w:rFonts w:ascii="Times New Roman" w:hAnsi="Times New Roman"/>
          <w:b/>
          <w:sz w:val="24"/>
          <w:szCs w:val="24"/>
        </w:rPr>
      </w:pPr>
      <w:r w:rsidRPr="00526067">
        <w:rPr>
          <w:rFonts w:ascii="Times New Roman" w:hAnsi="Times New Roman"/>
          <w:b/>
          <w:sz w:val="24"/>
          <w:szCs w:val="24"/>
        </w:rPr>
        <w:t>Приложение№1</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Материалы для подготовки сообщений.</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Первым правовым документом, дошедшим до нас, был </w:t>
      </w:r>
      <w:r w:rsidRPr="00194C74">
        <w:rPr>
          <w:rFonts w:ascii="Times New Roman" w:hAnsi="Times New Roman"/>
          <w:b/>
          <w:sz w:val="24"/>
          <w:szCs w:val="24"/>
        </w:rPr>
        <w:t xml:space="preserve">устав князя Владимира Святославовича "О десятинах, судах и людях церковных". </w:t>
      </w:r>
      <w:r w:rsidRPr="006E5AC4">
        <w:rPr>
          <w:rFonts w:ascii="Times New Roman" w:hAnsi="Times New Roman"/>
          <w:sz w:val="24"/>
          <w:szCs w:val="24"/>
        </w:rPr>
        <w:t xml:space="preserve">Устав создан на рубеже X-XI вв. в виде короткой уставной грамоты, которая была придана церкви Святой Богородицы. Оригинал до нас не дошел. Известны лишь списки, составленные в XII в. (Синодальные и </w:t>
      </w:r>
      <w:proofErr w:type="spellStart"/>
      <w:r w:rsidRPr="006E5AC4">
        <w:rPr>
          <w:rFonts w:ascii="Times New Roman" w:hAnsi="Times New Roman"/>
          <w:sz w:val="24"/>
          <w:szCs w:val="24"/>
        </w:rPr>
        <w:t>Оленецкие</w:t>
      </w:r>
      <w:proofErr w:type="spellEnd"/>
      <w:r w:rsidRPr="006E5AC4">
        <w:rPr>
          <w:rFonts w:ascii="Times New Roman" w:hAnsi="Times New Roman"/>
          <w:sz w:val="24"/>
          <w:szCs w:val="24"/>
        </w:rPr>
        <w:t xml:space="preserve"> редакции). Устав выступает как соглашение между князем (Владимиром Святославовичем) и митрополитом (предположительно Лионом). По уставу изначально - князь:</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 а) покровитель церкви (защищает церковь и обеспечивает ее материально);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б) не вмешивается в дела церкви;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Для существования церкви определяется десятина. По уставу </w:t>
      </w:r>
      <w:r w:rsidRPr="006E5AC4">
        <w:rPr>
          <w:rFonts w:ascii="Times New Roman" w:hAnsi="Times New Roman"/>
          <w:i/>
          <w:sz w:val="24"/>
          <w:szCs w:val="24"/>
        </w:rPr>
        <w:t xml:space="preserve">князь </w:t>
      </w:r>
      <w:r w:rsidRPr="006E5AC4">
        <w:rPr>
          <w:rFonts w:ascii="Times New Roman" w:hAnsi="Times New Roman"/>
          <w:sz w:val="24"/>
          <w:szCs w:val="24"/>
        </w:rPr>
        <w:t xml:space="preserve">должен 1/10 часть средств полученных от судебных дел, в виде дани от других племен, от торговли отдать церкви. Подобно князю, </w:t>
      </w:r>
      <w:r w:rsidRPr="006E5AC4">
        <w:rPr>
          <w:rFonts w:ascii="Times New Roman" w:hAnsi="Times New Roman"/>
          <w:i/>
          <w:sz w:val="24"/>
          <w:szCs w:val="24"/>
        </w:rPr>
        <w:t>каждый дом</w:t>
      </w:r>
      <w:r w:rsidRPr="006E5AC4">
        <w:rPr>
          <w:rFonts w:ascii="Times New Roman" w:hAnsi="Times New Roman"/>
          <w:sz w:val="24"/>
          <w:szCs w:val="24"/>
        </w:rPr>
        <w:t xml:space="preserve"> 1/10 часть приплода, дохода от торговли, урожая должен был отдавать также церкви.</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Целевое назначение устава - утверждение в Древнерусском государстве христианской церкви. Положения устава Владимира "О десятинах, судах и людях церковных" направлены </w:t>
      </w:r>
      <w:proofErr w:type="gramStart"/>
      <w:r w:rsidRPr="006E5AC4">
        <w:rPr>
          <w:rFonts w:ascii="Times New Roman" w:hAnsi="Times New Roman"/>
          <w:sz w:val="24"/>
          <w:szCs w:val="24"/>
        </w:rPr>
        <w:t>на</w:t>
      </w:r>
      <w:proofErr w:type="gramEnd"/>
      <w:r w:rsidRPr="006E5AC4">
        <w:rPr>
          <w:rFonts w:ascii="Times New Roman" w:hAnsi="Times New Roman"/>
          <w:sz w:val="24"/>
          <w:szCs w:val="24"/>
        </w:rPr>
        <w:t>:</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сохранение семьи и брака, утверждение незыблемости семейных уз;</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защиту церкви, церковной символики и христианского церковного порядка;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борьбу против языческих обрядов.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Распространенные в Древнерусском государстве сборники византийского церковного права (номоканоны) имели большое значение. Впоследствии на их основе с привлечением норм из русских и болгарских источников на Руси были составлены "кормчие" (руководящие) книги как источники церковного права. </w:t>
      </w:r>
    </w:p>
    <w:p w:rsidR="007110A2" w:rsidRPr="00194C74" w:rsidRDefault="007110A2" w:rsidP="007110A2">
      <w:pPr>
        <w:spacing w:line="240" w:lineRule="auto"/>
        <w:jc w:val="both"/>
        <w:rPr>
          <w:rFonts w:ascii="Times New Roman" w:hAnsi="Times New Roman"/>
          <w:b/>
          <w:sz w:val="24"/>
          <w:szCs w:val="24"/>
        </w:rPr>
      </w:pPr>
      <w:r w:rsidRPr="00194C74">
        <w:rPr>
          <w:rFonts w:ascii="Times New Roman" w:hAnsi="Times New Roman"/>
          <w:b/>
          <w:sz w:val="24"/>
          <w:szCs w:val="24"/>
        </w:rPr>
        <w:t xml:space="preserve">Таким образом, после принятия христианства (988 г.) церковь выступает как элемент государства.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В IX в. получает развитие и светское право. Появляются сборники права, содержащие накопленный княжеским и общинным судом правовой материал. До нас дошло таких сборников более 110 в различных списках. Эти сборники получили название "</w:t>
      </w:r>
      <w:proofErr w:type="gramStart"/>
      <w:r w:rsidRPr="00194C74">
        <w:rPr>
          <w:rFonts w:ascii="Times New Roman" w:hAnsi="Times New Roman"/>
          <w:b/>
          <w:sz w:val="24"/>
          <w:szCs w:val="24"/>
        </w:rPr>
        <w:t>Русская</w:t>
      </w:r>
      <w:proofErr w:type="gramEnd"/>
      <w:r w:rsidRPr="00194C74">
        <w:rPr>
          <w:rFonts w:ascii="Times New Roman" w:hAnsi="Times New Roman"/>
          <w:b/>
          <w:sz w:val="24"/>
          <w:szCs w:val="24"/>
        </w:rPr>
        <w:t xml:space="preserve"> правда" или "Закон русский". </w:t>
      </w:r>
      <w:r w:rsidRPr="006E5AC4">
        <w:rPr>
          <w:rFonts w:ascii="Times New Roman" w:hAnsi="Times New Roman"/>
          <w:sz w:val="24"/>
          <w:szCs w:val="24"/>
        </w:rPr>
        <w:t xml:space="preserve">Русскими историками они по сходству между собой объединены в 3 редакции: </w:t>
      </w:r>
      <w:proofErr w:type="gramStart"/>
      <w:r w:rsidRPr="006E5AC4">
        <w:rPr>
          <w:rFonts w:ascii="Times New Roman" w:hAnsi="Times New Roman"/>
          <w:sz w:val="24"/>
          <w:szCs w:val="24"/>
        </w:rPr>
        <w:t>Краткая</w:t>
      </w:r>
      <w:proofErr w:type="gramEnd"/>
      <w:r w:rsidRPr="006E5AC4">
        <w:rPr>
          <w:rFonts w:ascii="Times New Roman" w:hAnsi="Times New Roman"/>
          <w:sz w:val="24"/>
          <w:szCs w:val="24"/>
        </w:rPr>
        <w:t xml:space="preserve"> правда (КП), Пространная правда (ПП),  Сокращенная правда (СП).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Некоторые списки именуются по месту нахождения: </w:t>
      </w:r>
      <w:proofErr w:type="gramStart"/>
      <w:r w:rsidRPr="006E5AC4">
        <w:rPr>
          <w:rFonts w:ascii="Times New Roman" w:hAnsi="Times New Roman"/>
          <w:sz w:val="24"/>
          <w:szCs w:val="24"/>
        </w:rPr>
        <w:t>Синодальный</w:t>
      </w:r>
      <w:proofErr w:type="gramEnd"/>
      <w:r w:rsidRPr="006E5AC4">
        <w:rPr>
          <w:rFonts w:ascii="Times New Roman" w:hAnsi="Times New Roman"/>
          <w:sz w:val="24"/>
          <w:szCs w:val="24"/>
        </w:rPr>
        <w:t xml:space="preserve"> - хранился в библиотеке Синода, Троицкий - хранился в Троице-Сергиевской Лавре, Академический - хранился в библиотеке Академии Наук.</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Краткая правда делится на 2 части:</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1. Древнейшая правда (см. ст. 1-18) - составлена в 30-х гг. XI в</w:t>
      </w:r>
      <w:proofErr w:type="gramStart"/>
      <w:r w:rsidRPr="006E5AC4">
        <w:rPr>
          <w:rFonts w:ascii="Times New Roman" w:hAnsi="Times New Roman"/>
          <w:sz w:val="24"/>
          <w:szCs w:val="24"/>
        </w:rPr>
        <w:t>.Я</w:t>
      </w:r>
      <w:proofErr w:type="gramEnd"/>
      <w:r w:rsidRPr="006E5AC4">
        <w:rPr>
          <w:rFonts w:ascii="Times New Roman" w:hAnsi="Times New Roman"/>
          <w:sz w:val="24"/>
          <w:szCs w:val="24"/>
        </w:rPr>
        <w:t>рославом Мудрым (1019-1054 гг.), поэтому известна как Правда Ярослава. В ней встречаются нормы обычного права (например - кровная месть), недостаточно выражена привилегия феодалов (устанавливается одинаковое наказание за убийство любого человека).</w:t>
      </w:r>
    </w:p>
    <w:p w:rsidR="007110A2"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2. </w:t>
      </w:r>
      <w:proofErr w:type="gramStart"/>
      <w:r w:rsidRPr="006E5AC4">
        <w:rPr>
          <w:rFonts w:ascii="Times New Roman" w:hAnsi="Times New Roman"/>
          <w:sz w:val="24"/>
          <w:szCs w:val="24"/>
        </w:rPr>
        <w:t>Правда</w:t>
      </w:r>
      <w:proofErr w:type="gramEnd"/>
      <w:r w:rsidRPr="006E5AC4">
        <w:rPr>
          <w:rFonts w:ascii="Times New Roman" w:hAnsi="Times New Roman"/>
          <w:sz w:val="24"/>
          <w:szCs w:val="24"/>
        </w:rPr>
        <w:t xml:space="preserve"> Ярославичей (см. ст. 19-43), составленная в 70-х гг. XI в., когда в Киеве княжил сын Ярослава Изяслав (1054-1072 гг.). В правде Ярославичей отражена более высокая ступень развития феодального государства: защищается княжеская собственность и лица администрации;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lastRenderedPageBreak/>
        <w:t xml:space="preserve">вместо кровной мести устанавливается денежное взыскание, причем разное, в зависимости от классового положения. </w:t>
      </w:r>
    </w:p>
    <w:p w:rsidR="007110A2" w:rsidRPr="006E5AC4" w:rsidRDefault="007110A2" w:rsidP="007110A2">
      <w:pPr>
        <w:spacing w:line="240" w:lineRule="auto"/>
        <w:jc w:val="both"/>
        <w:rPr>
          <w:rFonts w:ascii="Times New Roman" w:hAnsi="Times New Roman"/>
          <w:sz w:val="24"/>
          <w:szCs w:val="24"/>
        </w:rPr>
      </w:pPr>
      <w:proofErr w:type="gramStart"/>
      <w:r w:rsidRPr="006E5AC4">
        <w:rPr>
          <w:rFonts w:ascii="Times New Roman" w:hAnsi="Times New Roman"/>
          <w:sz w:val="24"/>
          <w:szCs w:val="24"/>
        </w:rPr>
        <w:t>Пространная</w:t>
      </w:r>
      <w:proofErr w:type="gramEnd"/>
      <w:r w:rsidRPr="006E5AC4">
        <w:rPr>
          <w:rFonts w:ascii="Times New Roman" w:hAnsi="Times New Roman"/>
          <w:sz w:val="24"/>
          <w:szCs w:val="24"/>
        </w:rPr>
        <w:t xml:space="preserve"> правда составлена в княжение Владимира Мономаха (1113-1125 гг.). Она состоит из 2 основных частей: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1. Устав Ярослава</w:t>
      </w:r>
      <w:proofErr w:type="gramStart"/>
      <w:r w:rsidRPr="006E5AC4">
        <w:rPr>
          <w:rFonts w:ascii="Times New Roman" w:hAnsi="Times New Roman"/>
          <w:sz w:val="24"/>
          <w:szCs w:val="24"/>
        </w:rPr>
        <w:t xml:space="preserve"> ,</w:t>
      </w:r>
      <w:proofErr w:type="gramEnd"/>
      <w:r w:rsidRPr="006E5AC4">
        <w:rPr>
          <w:rFonts w:ascii="Times New Roman" w:hAnsi="Times New Roman"/>
          <w:sz w:val="24"/>
          <w:szCs w:val="24"/>
        </w:rPr>
        <w:t xml:space="preserve"> включающий краткую правду (см. ст. 1-52) "Суд Ярославль </w:t>
      </w:r>
      <w:proofErr w:type="spellStart"/>
      <w:r w:rsidRPr="006E5AC4">
        <w:rPr>
          <w:rFonts w:ascii="Times New Roman" w:hAnsi="Times New Roman"/>
          <w:sz w:val="24"/>
          <w:szCs w:val="24"/>
        </w:rPr>
        <w:t>Володемеречь</w:t>
      </w:r>
      <w:proofErr w:type="spellEnd"/>
      <w:r w:rsidRPr="006E5AC4">
        <w:rPr>
          <w:rFonts w:ascii="Times New Roman" w:hAnsi="Times New Roman"/>
          <w:sz w:val="24"/>
          <w:szCs w:val="24"/>
        </w:rPr>
        <w:t>".</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2. Устав Владимира Мономаха (</w:t>
      </w:r>
      <w:proofErr w:type="gramStart"/>
      <w:r w:rsidRPr="006E5AC4">
        <w:rPr>
          <w:rFonts w:ascii="Times New Roman" w:hAnsi="Times New Roman"/>
          <w:sz w:val="24"/>
          <w:szCs w:val="24"/>
        </w:rPr>
        <w:t>см</w:t>
      </w:r>
      <w:proofErr w:type="gramEnd"/>
      <w:r w:rsidRPr="006E5AC4">
        <w:rPr>
          <w:rFonts w:ascii="Times New Roman" w:hAnsi="Times New Roman"/>
          <w:sz w:val="24"/>
          <w:szCs w:val="24"/>
        </w:rPr>
        <w:t xml:space="preserve">. ст. 53-121) "Устав </w:t>
      </w:r>
      <w:proofErr w:type="spellStart"/>
      <w:r w:rsidRPr="006E5AC4">
        <w:rPr>
          <w:rFonts w:ascii="Times New Roman" w:hAnsi="Times New Roman"/>
          <w:sz w:val="24"/>
          <w:szCs w:val="24"/>
        </w:rPr>
        <w:t>Володемер</w:t>
      </w:r>
      <w:proofErr w:type="spellEnd"/>
      <w:r w:rsidRPr="006E5AC4">
        <w:rPr>
          <w:rFonts w:ascii="Times New Roman" w:hAnsi="Times New Roman"/>
          <w:sz w:val="24"/>
          <w:szCs w:val="24"/>
        </w:rPr>
        <w:t xml:space="preserve"> </w:t>
      </w:r>
      <w:proofErr w:type="spellStart"/>
      <w:r w:rsidRPr="006E5AC4">
        <w:rPr>
          <w:rFonts w:ascii="Times New Roman" w:hAnsi="Times New Roman"/>
          <w:sz w:val="24"/>
          <w:szCs w:val="24"/>
        </w:rPr>
        <w:t>Всеволодовичь</w:t>
      </w:r>
      <w:proofErr w:type="spellEnd"/>
      <w:r w:rsidRPr="006E5AC4">
        <w:rPr>
          <w:rFonts w:ascii="Times New Roman" w:hAnsi="Times New Roman"/>
          <w:sz w:val="24"/>
          <w:szCs w:val="24"/>
        </w:rPr>
        <w:t>".</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В этом документе полностью оформляется феодальное право как привилегия,</w:t>
      </w:r>
      <w:r>
        <w:rPr>
          <w:rFonts w:ascii="Times New Roman" w:hAnsi="Times New Roman"/>
          <w:sz w:val="24"/>
          <w:szCs w:val="24"/>
        </w:rPr>
        <w:t xml:space="preserve"> </w:t>
      </w:r>
      <w:r w:rsidRPr="006E5AC4">
        <w:rPr>
          <w:rFonts w:ascii="Times New Roman" w:hAnsi="Times New Roman"/>
          <w:sz w:val="24"/>
          <w:szCs w:val="24"/>
        </w:rPr>
        <w:t>более подробно регламентируется гражданское право, уголовное право, судоустройство и судопроизводство,</w:t>
      </w:r>
      <w:r>
        <w:rPr>
          <w:rFonts w:ascii="Times New Roman" w:hAnsi="Times New Roman"/>
          <w:sz w:val="24"/>
          <w:szCs w:val="24"/>
        </w:rPr>
        <w:t xml:space="preserve"> </w:t>
      </w:r>
      <w:r w:rsidRPr="006E5AC4">
        <w:rPr>
          <w:rFonts w:ascii="Times New Roman" w:hAnsi="Times New Roman"/>
          <w:sz w:val="24"/>
          <w:szCs w:val="24"/>
        </w:rPr>
        <w:t xml:space="preserve">появляются статьи об охране боярской вотчины, об отношениях феодалов и закупов, о смердах.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Сокращенная правда возникла в XV в. из Пространной правды и действовала в Московском государстве</w:t>
      </w:r>
      <w:proofErr w:type="gramStart"/>
      <w:r>
        <w:rPr>
          <w:rFonts w:ascii="Times New Roman" w:hAnsi="Times New Roman"/>
          <w:sz w:val="24"/>
          <w:szCs w:val="24"/>
        </w:rPr>
        <w:t xml:space="preserve"> </w:t>
      </w:r>
      <w:r w:rsidRPr="006E5AC4">
        <w:rPr>
          <w:rFonts w:ascii="Times New Roman" w:hAnsi="Times New Roman"/>
          <w:sz w:val="24"/>
          <w:szCs w:val="24"/>
        </w:rPr>
        <w:t>.</w:t>
      </w:r>
      <w:proofErr w:type="gramEnd"/>
      <w:r w:rsidRPr="006E5AC4">
        <w:rPr>
          <w:rFonts w:ascii="Times New Roman" w:hAnsi="Times New Roman"/>
          <w:sz w:val="24"/>
          <w:szCs w:val="24"/>
        </w:rPr>
        <w:t xml:space="preserve">Кроме Русской правды источниками светского права на Руси являются русско-византийские договоры, содержащие не только нормы международного права, но и нормы, регулирующие внутреннюю жизнь. Известны 4 договора Руси с Византией: 907, 911, 944 и 971 гг. Договоры свидетельствуют о высоком международном авторитете Древнерусского государства. Много внимания в них уделено регулированию торговых отношений.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Основным источником древнерусского феодального права является "Русская правда". Основная часть ее посвящена уголовному и процессуальному праву, вместе с тем имеются статьи, содержащие нормы гражданского права, особенно обязательственного и наследственного.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Основными источниками светского права Новгорода и Пскова являлась "Русская правда" и обычное право.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Вместе с тем существенные изменения в общественно-политической и экономической жизни госуда</w:t>
      </w:r>
      <w:proofErr w:type="gramStart"/>
      <w:r w:rsidRPr="006E5AC4">
        <w:rPr>
          <w:rFonts w:ascii="Times New Roman" w:hAnsi="Times New Roman"/>
          <w:sz w:val="24"/>
          <w:szCs w:val="24"/>
        </w:rPr>
        <w:t>рств тр</w:t>
      </w:r>
      <w:proofErr w:type="gramEnd"/>
      <w:r w:rsidRPr="006E5AC4">
        <w:rPr>
          <w:rFonts w:ascii="Times New Roman" w:hAnsi="Times New Roman"/>
          <w:sz w:val="24"/>
          <w:szCs w:val="24"/>
        </w:rPr>
        <w:t xml:space="preserve">ебовали дополнительных актов, регулирующих правовые отношения. В Новгородской и Псковской феодальной республиках важную роль в качестве источников права сыграли новгородское и псковское вечевое законодательство, договора Новгорода с князьями, местная судебная практика, торговые договора с другими государствами.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В начале XV века в Новгороде и Пскове происходило упорядочение республиканских законов, в т.ч. была проведена кодификация права. Результатом этого процесса явились создания </w:t>
      </w:r>
      <w:proofErr w:type="gramStart"/>
      <w:r w:rsidRPr="00194C74">
        <w:rPr>
          <w:rFonts w:ascii="Times New Roman" w:hAnsi="Times New Roman"/>
          <w:b/>
          <w:sz w:val="24"/>
          <w:szCs w:val="24"/>
        </w:rPr>
        <w:t>Новгородской</w:t>
      </w:r>
      <w:proofErr w:type="gramEnd"/>
      <w:r w:rsidRPr="00194C74">
        <w:rPr>
          <w:rFonts w:ascii="Times New Roman" w:hAnsi="Times New Roman"/>
          <w:b/>
          <w:sz w:val="24"/>
          <w:szCs w:val="24"/>
        </w:rPr>
        <w:t xml:space="preserve"> и Псковской судных грамот</w:t>
      </w:r>
      <w:r w:rsidRPr="006E5AC4">
        <w:rPr>
          <w:rFonts w:ascii="Times New Roman" w:hAnsi="Times New Roman"/>
          <w:sz w:val="24"/>
          <w:szCs w:val="24"/>
        </w:rPr>
        <w:t xml:space="preserve">, утвержденных "всем государем Великим Новгородом на вече на Ярославом дворе" и "всем Псковом на вече".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Новгородская судная грамота дошла до нас в отрывках в московской редакции 70-х годов XV века и в основном содержит только процессуальные нормы. </w:t>
      </w:r>
    </w:p>
    <w:p w:rsidR="007110A2"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Псковская судная грамота состоит из 120 статей и, предположительно, мало чем отличается от </w:t>
      </w:r>
      <w:proofErr w:type="gramStart"/>
      <w:r w:rsidRPr="006E5AC4">
        <w:rPr>
          <w:rFonts w:ascii="Times New Roman" w:hAnsi="Times New Roman"/>
          <w:sz w:val="24"/>
          <w:szCs w:val="24"/>
        </w:rPr>
        <w:t>Новгородской</w:t>
      </w:r>
      <w:proofErr w:type="gramEnd"/>
      <w:r w:rsidRPr="006E5AC4">
        <w:rPr>
          <w:rFonts w:ascii="Times New Roman" w:hAnsi="Times New Roman"/>
          <w:sz w:val="24"/>
          <w:szCs w:val="24"/>
        </w:rPr>
        <w:t xml:space="preserve">. По мнению </w:t>
      </w:r>
      <w:proofErr w:type="gramStart"/>
      <w:r w:rsidRPr="006E5AC4">
        <w:rPr>
          <w:rFonts w:ascii="Times New Roman" w:hAnsi="Times New Roman"/>
          <w:sz w:val="24"/>
          <w:szCs w:val="24"/>
        </w:rPr>
        <w:t>исследователей</w:t>
      </w:r>
      <w:proofErr w:type="gramEnd"/>
      <w:r w:rsidRPr="006E5AC4">
        <w:rPr>
          <w:rFonts w:ascii="Times New Roman" w:hAnsi="Times New Roman"/>
          <w:sz w:val="24"/>
          <w:szCs w:val="24"/>
        </w:rPr>
        <w:t xml:space="preserve"> она утверждена на вече в Пскове в 1467 году.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Источниками Псковской судной грамоты явились " </w:t>
      </w:r>
      <w:proofErr w:type="gramStart"/>
      <w:r w:rsidRPr="006E5AC4">
        <w:rPr>
          <w:rFonts w:ascii="Times New Roman" w:hAnsi="Times New Roman"/>
          <w:sz w:val="24"/>
          <w:szCs w:val="24"/>
        </w:rPr>
        <w:t>Русская</w:t>
      </w:r>
      <w:proofErr w:type="gramEnd"/>
      <w:r w:rsidRPr="006E5AC4">
        <w:rPr>
          <w:rFonts w:ascii="Times New Roman" w:hAnsi="Times New Roman"/>
          <w:sz w:val="24"/>
          <w:szCs w:val="24"/>
        </w:rPr>
        <w:t xml:space="preserve"> правда", обычное право, вечевое законодательство, грамоты боярского совета и псковских князей, а также судебная практика.</w:t>
      </w:r>
    </w:p>
    <w:p w:rsidR="007110A2"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Псковская Судная грамота - источник права более высокого уровня, чем "</w:t>
      </w:r>
      <w:proofErr w:type="gramStart"/>
      <w:r w:rsidRPr="006E5AC4">
        <w:rPr>
          <w:rFonts w:ascii="Times New Roman" w:hAnsi="Times New Roman"/>
          <w:sz w:val="24"/>
          <w:szCs w:val="24"/>
        </w:rPr>
        <w:t>Русская</w:t>
      </w:r>
      <w:proofErr w:type="gramEnd"/>
      <w:r w:rsidRPr="006E5AC4">
        <w:rPr>
          <w:rFonts w:ascii="Times New Roman" w:hAnsi="Times New Roman"/>
          <w:sz w:val="24"/>
          <w:szCs w:val="24"/>
        </w:rPr>
        <w:t xml:space="preserve"> правда", свидетельствующая о более развитых феодальных отношениях и обострении классовой борьбы. В ней содержатся более развитые нормы гражданского, уголовного, судебного и процессуального права, встречаются сведения о государственном строе, положении различных социальных групп.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В условиях завершения централизации русского государства возник вопрос о создании единого законодательного сборника для установления единообразной системы суда и управления. Насущность составления кодекса диктовалась появлением новых общественных групп - поместного дворянства и купечества, интересы которых необходимо защитить законодательно. </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lastRenderedPageBreak/>
        <w:t xml:space="preserve">Великий князь Иван III поручил одному из своих приближённых Владимиру Гусеву составить проект кодекса, получивший название Судебника. Кодекс был утверждён князем и боярской думой в сентябре 1497 года. </w:t>
      </w:r>
      <w:r w:rsidRPr="00194C74">
        <w:rPr>
          <w:rFonts w:ascii="Times New Roman" w:hAnsi="Times New Roman"/>
          <w:b/>
          <w:sz w:val="24"/>
          <w:szCs w:val="24"/>
        </w:rPr>
        <w:t>Судебник 1497</w:t>
      </w:r>
      <w:r w:rsidRPr="006E5AC4">
        <w:rPr>
          <w:rFonts w:ascii="Times New Roman" w:hAnsi="Times New Roman"/>
          <w:sz w:val="24"/>
          <w:szCs w:val="24"/>
        </w:rPr>
        <w:t xml:space="preserve"> года в значительной степени отразил реформаторскую деятельность московского правительства. Владимир Гусев при составлении Кодекса использовал Уставные грамоты в II статьях, Псковскую судную грамоту в 10 статьях, Русскую правду в 2 статьях, обычное право в 2 статьях.</w:t>
      </w:r>
      <w:r>
        <w:rPr>
          <w:rFonts w:ascii="Times New Roman" w:hAnsi="Times New Roman"/>
          <w:sz w:val="24"/>
          <w:szCs w:val="24"/>
        </w:rPr>
        <w:t xml:space="preserve"> </w:t>
      </w:r>
      <w:r w:rsidRPr="006E5AC4">
        <w:rPr>
          <w:rFonts w:ascii="Times New Roman" w:hAnsi="Times New Roman"/>
          <w:sz w:val="24"/>
          <w:szCs w:val="24"/>
        </w:rPr>
        <w:t xml:space="preserve">Вместе с тем не менее 26 статей было внесено вновь, т.е. почти половина </w:t>
      </w:r>
      <w:proofErr w:type="spellStart"/>
      <w:r w:rsidRPr="006E5AC4">
        <w:rPr>
          <w:rFonts w:ascii="Times New Roman" w:hAnsi="Times New Roman"/>
          <w:sz w:val="24"/>
          <w:szCs w:val="24"/>
        </w:rPr>
        <w:t>Судебника</w:t>
      </w:r>
      <w:proofErr w:type="gramStart"/>
      <w:r w:rsidRPr="006E5AC4">
        <w:rPr>
          <w:rFonts w:ascii="Times New Roman" w:hAnsi="Times New Roman"/>
          <w:sz w:val="24"/>
          <w:szCs w:val="24"/>
        </w:rPr>
        <w:t>.С</w:t>
      </w:r>
      <w:proofErr w:type="gramEnd"/>
      <w:r w:rsidRPr="006E5AC4">
        <w:rPr>
          <w:rFonts w:ascii="Times New Roman" w:hAnsi="Times New Roman"/>
          <w:sz w:val="24"/>
          <w:szCs w:val="24"/>
        </w:rPr>
        <w:t>удебник</w:t>
      </w:r>
      <w:proofErr w:type="spellEnd"/>
      <w:r w:rsidRPr="006E5AC4">
        <w:rPr>
          <w:rFonts w:ascii="Times New Roman" w:hAnsi="Times New Roman"/>
          <w:sz w:val="24"/>
          <w:szCs w:val="24"/>
        </w:rPr>
        <w:t xml:space="preserve"> 1497 года был исправлен и переработан Василием III, но Судебник Василий III до нас не дошел.</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Судебник 1497 года является первым Кодексом русского централизованного государства и определил систему суда и администрации всего государства, установил надзор со стороны высших государственных органов над местными административно судебными органами.</w:t>
      </w:r>
    </w:p>
    <w:p w:rsidR="007110A2" w:rsidRPr="006E5AC4"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 xml:space="preserve">Выполняя задачи </w:t>
      </w:r>
      <w:proofErr w:type="gramStart"/>
      <w:r w:rsidRPr="006E5AC4">
        <w:rPr>
          <w:rFonts w:ascii="Times New Roman" w:hAnsi="Times New Roman"/>
          <w:sz w:val="24"/>
          <w:szCs w:val="24"/>
        </w:rPr>
        <w:t>централизации</w:t>
      </w:r>
      <w:proofErr w:type="gramEnd"/>
      <w:r w:rsidRPr="006E5AC4">
        <w:rPr>
          <w:rFonts w:ascii="Times New Roman" w:hAnsi="Times New Roman"/>
          <w:sz w:val="24"/>
          <w:szCs w:val="24"/>
        </w:rPr>
        <w:t xml:space="preserve"> Судебник способствовал законодательной борьбе против феодального произвола, подрывавшем устои нового политического строя. Кодекс явился сильным средством для усиления эксплуатации крестьян. Ст. 57 Судебника положила начало юридическому оформлению крепостного права, установив один срок в году для выхода крестьян ( причем очень неудобный )</w:t>
      </w:r>
      <w:proofErr w:type="gramStart"/>
      <w:r w:rsidRPr="006E5AC4">
        <w:rPr>
          <w:rFonts w:ascii="Times New Roman" w:hAnsi="Times New Roman"/>
          <w:sz w:val="24"/>
          <w:szCs w:val="24"/>
        </w:rPr>
        <w:t>.С</w:t>
      </w:r>
      <w:proofErr w:type="gramEnd"/>
      <w:r w:rsidRPr="006E5AC4">
        <w:rPr>
          <w:rFonts w:ascii="Times New Roman" w:hAnsi="Times New Roman"/>
          <w:sz w:val="24"/>
          <w:szCs w:val="24"/>
        </w:rPr>
        <w:t xml:space="preserve">удебник закрепил политический статус дворянства, заинтересованного в установлении крепостного строя. </w:t>
      </w:r>
    </w:p>
    <w:p w:rsidR="007110A2" w:rsidRDefault="007110A2" w:rsidP="007110A2">
      <w:pPr>
        <w:spacing w:line="240" w:lineRule="auto"/>
        <w:jc w:val="both"/>
        <w:rPr>
          <w:rFonts w:ascii="Times New Roman" w:hAnsi="Times New Roman"/>
          <w:sz w:val="24"/>
          <w:szCs w:val="24"/>
        </w:rPr>
      </w:pPr>
      <w:r w:rsidRPr="006E5AC4">
        <w:rPr>
          <w:rFonts w:ascii="Times New Roman" w:hAnsi="Times New Roman"/>
          <w:sz w:val="24"/>
          <w:szCs w:val="24"/>
        </w:rPr>
        <w:t>Важную роль в укреплении централизации, государственного аппарата, усилении влияния дворянства и охране крепостнических порядков сыграл Судебник 1550 года. Увеличив плату за "пожилое", осложнил "выход" крестьян, установил более суровое наказание за преступление против феодального порядка. В нем более ярко выражено право - привилегия господствующего класса</w:t>
      </w:r>
    </w:p>
    <w:p w:rsidR="00C31848" w:rsidRDefault="00C31848"/>
    <w:sectPr w:rsidR="00C31848" w:rsidSect="007110A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10A2"/>
    <w:rsid w:val="007110A2"/>
    <w:rsid w:val="00C3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6878</Characters>
  <Application>Microsoft Office Word</Application>
  <DocSecurity>0</DocSecurity>
  <Lines>57</Lines>
  <Paragraphs>16</Paragraphs>
  <ScaleCrop>false</ScaleCrop>
  <Company>XATA</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dc:creator>
  <cp:keywords/>
  <dc:description/>
  <cp:lastModifiedBy>KOS</cp:lastModifiedBy>
  <cp:revision>1</cp:revision>
  <dcterms:created xsi:type="dcterms:W3CDTF">2009-01-31T15:40:00Z</dcterms:created>
  <dcterms:modified xsi:type="dcterms:W3CDTF">2009-01-31T15:43:00Z</dcterms:modified>
</cp:coreProperties>
</file>